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word/charts/chart1.xml" ContentType="application/vnd.openxmlformats-officedocument.drawingml.chart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charts/chart2.xml" ContentType="application/vnd.openxmlformats-officedocument.drawingml.chart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D109F" w:rsidRDefault="00566C24" w:rsidP="000066C5">
      <w:pPr>
        <w:ind w:left="180"/>
      </w:pPr>
      <w:r>
        <w:rPr>
          <w:noProof/>
          <w:lang w:eastAsia="zh-TW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1.25pt;margin-top:-7.35pt;width:539.7pt;height:281.35pt;z-index:-251657216;mso-width-relative:margin;mso-height-relative:margin" stroked="f" strokecolor="black [3213]">
            <v:textbox style="mso-next-textbox:#_x0000_s1026">
              <w:txbxContent>
                <w:p w:rsidR="0010748A" w:rsidRDefault="0010748A" w:rsidP="00CB49D0">
                  <w:pPr>
                    <w:jc w:val="center"/>
                    <w:rPr>
                      <w:color w:val="17365D" w:themeColor="text2" w:themeShade="BF"/>
                      <w:sz w:val="20"/>
                      <w:szCs w:val="20"/>
                    </w:rPr>
                  </w:pPr>
                </w:p>
                <w:p w:rsidR="0010748A" w:rsidRDefault="0010748A" w:rsidP="00CB49D0">
                  <w:pPr>
                    <w:jc w:val="center"/>
                    <w:rPr>
                      <w:color w:val="17365D" w:themeColor="text2" w:themeShade="BF"/>
                      <w:sz w:val="20"/>
                      <w:szCs w:val="20"/>
                    </w:rPr>
                  </w:pPr>
                </w:p>
                <w:p w:rsidR="0010748A" w:rsidRDefault="0010748A" w:rsidP="00CB49D0">
                  <w:pPr>
                    <w:jc w:val="center"/>
                    <w:rPr>
                      <w:color w:val="17365D" w:themeColor="text2" w:themeShade="BF"/>
                      <w:sz w:val="20"/>
                      <w:szCs w:val="20"/>
                    </w:rPr>
                  </w:pPr>
                </w:p>
                <w:p w:rsidR="0010748A" w:rsidRDefault="0010748A" w:rsidP="00CB49D0">
                  <w:pPr>
                    <w:jc w:val="center"/>
                    <w:rPr>
                      <w:color w:val="17365D" w:themeColor="text2" w:themeShade="BF"/>
                      <w:sz w:val="20"/>
                      <w:szCs w:val="20"/>
                    </w:rPr>
                  </w:pPr>
                </w:p>
                <w:p w:rsidR="0010748A" w:rsidRDefault="0010748A" w:rsidP="00CB49D0">
                  <w:pPr>
                    <w:jc w:val="center"/>
                    <w:rPr>
                      <w:color w:val="17365D" w:themeColor="text2" w:themeShade="BF"/>
                      <w:sz w:val="20"/>
                      <w:szCs w:val="20"/>
                    </w:rPr>
                  </w:pPr>
                </w:p>
                <w:p w:rsidR="0010748A" w:rsidRDefault="0010748A" w:rsidP="00CB49D0">
                  <w:pPr>
                    <w:jc w:val="center"/>
                    <w:rPr>
                      <w:color w:val="17365D" w:themeColor="text2" w:themeShade="BF"/>
                      <w:sz w:val="20"/>
                      <w:szCs w:val="20"/>
                    </w:rPr>
                  </w:pPr>
                </w:p>
                <w:p w:rsidR="0010748A" w:rsidRDefault="0010748A" w:rsidP="00CB49D0">
                  <w:pPr>
                    <w:jc w:val="center"/>
                    <w:rPr>
                      <w:color w:val="17365D" w:themeColor="text2" w:themeShade="BF"/>
                      <w:sz w:val="20"/>
                      <w:szCs w:val="20"/>
                    </w:rPr>
                  </w:pPr>
                </w:p>
                <w:p w:rsidR="0010748A" w:rsidRDefault="0010748A" w:rsidP="00CB49D0">
                  <w:pPr>
                    <w:jc w:val="center"/>
                    <w:rPr>
                      <w:color w:val="17365D" w:themeColor="text2" w:themeShade="BF"/>
                      <w:sz w:val="20"/>
                      <w:szCs w:val="20"/>
                    </w:rPr>
                  </w:pPr>
                </w:p>
                <w:p w:rsidR="0010748A" w:rsidRDefault="0010748A" w:rsidP="00CB49D0">
                  <w:pPr>
                    <w:jc w:val="center"/>
                    <w:rPr>
                      <w:color w:val="17365D" w:themeColor="text2" w:themeShade="BF"/>
                      <w:sz w:val="20"/>
                      <w:szCs w:val="20"/>
                    </w:rPr>
                  </w:pPr>
                </w:p>
                <w:p w:rsidR="0010748A" w:rsidRDefault="0010748A" w:rsidP="00CB49D0">
                  <w:pPr>
                    <w:jc w:val="center"/>
                    <w:rPr>
                      <w:color w:val="17365D" w:themeColor="text2" w:themeShade="BF"/>
                      <w:sz w:val="20"/>
                      <w:szCs w:val="20"/>
                    </w:rPr>
                  </w:pPr>
                </w:p>
                <w:p w:rsidR="0010748A" w:rsidRDefault="0010748A" w:rsidP="00CB49D0">
                  <w:pPr>
                    <w:jc w:val="center"/>
                    <w:rPr>
                      <w:color w:val="17365D" w:themeColor="text2" w:themeShade="BF"/>
                      <w:sz w:val="20"/>
                      <w:szCs w:val="20"/>
                    </w:rPr>
                  </w:pPr>
                </w:p>
                <w:p w:rsidR="0010748A" w:rsidRDefault="0010748A" w:rsidP="00CB49D0">
                  <w:pPr>
                    <w:jc w:val="center"/>
                    <w:rPr>
                      <w:color w:val="17365D" w:themeColor="text2" w:themeShade="BF"/>
                      <w:sz w:val="20"/>
                      <w:szCs w:val="20"/>
                    </w:rPr>
                  </w:pPr>
                </w:p>
                <w:p w:rsidR="0010748A" w:rsidRDefault="0010748A" w:rsidP="00CB49D0">
                  <w:pPr>
                    <w:jc w:val="center"/>
                    <w:rPr>
                      <w:color w:val="17365D" w:themeColor="text2" w:themeShade="BF"/>
                      <w:sz w:val="20"/>
                      <w:szCs w:val="20"/>
                    </w:rPr>
                  </w:pPr>
                </w:p>
                <w:p w:rsidR="0010748A" w:rsidRDefault="0010748A" w:rsidP="00CB49D0">
                  <w:pPr>
                    <w:jc w:val="center"/>
                    <w:rPr>
                      <w:color w:val="17365D" w:themeColor="text2" w:themeShade="BF"/>
                      <w:sz w:val="20"/>
                      <w:szCs w:val="20"/>
                    </w:rPr>
                  </w:pPr>
                </w:p>
                <w:p w:rsidR="0010748A" w:rsidRDefault="0010748A" w:rsidP="00CB49D0">
                  <w:pPr>
                    <w:jc w:val="center"/>
                    <w:rPr>
                      <w:color w:val="17365D" w:themeColor="text2" w:themeShade="BF"/>
                      <w:sz w:val="20"/>
                      <w:szCs w:val="20"/>
                    </w:rPr>
                  </w:pPr>
                </w:p>
                <w:p w:rsidR="000066C5" w:rsidRDefault="000066C5" w:rsidP="00CB49D0">
                  <w:pPr>
                    <w:jc w:val="center"/>
                    <w:rPr>
                      <w:color w:val="17365D" w:themeColor="text2" w:themeShade="BF"/>
                      <w:sz w:val="20"/>
                      <w:szCs w:val="20"/>
                    </w:rPr>
                  </w:pPr>
                </w:p>
                <w:p w:rsidR="00CB49D0" w:rsidRPr="00CB49D0" w:rsidRDefault="00CB49D0" w:rsidP="00CB49D0">
                  <w:pPr>
                    <w:jc w:val="center"/>
                    <w:rPr>
                      <w:color w:val="17365D" w:themeColor="text2" w:themeShade="BF"/>
                      <w:sz w:val="20"/>
                      <w:szCs w:val="20"/>
                    </w:rPr>
                  </w:pPr>
                  <w:r>
                    <w:rPr>
                      <w:color w:val="17365D" w:themeColor="text2" w:themeShade="BF"/>
                      <w:sz w:val="20"/>
                      <w:szCs w:val="20"/>
                    </w:rPr>
                    <w:t>Over the past 10 years t</w:t>
                  </w:r>
                  <w:r w:rsidRPr="00CB49D0">
                    <w:rPr>
                      <w:color w:val="17365D" w:themeColor="text2" w:themeShade="BF"/>
                      <w:sz w:val="20"/>
                      <w:szCs w:val="20"/>
                    </w:rPr>
                    <w:t>here has been a dramatic shift from students with mild disabilities to students with more significant disabilities</w:t>
                  </w:r>
                  <w:r>
                    <w:rPr>
                      <w:color w:val="17365D" w:themeColor="text2" w:themeShade="BF"/>
                      <w:sz w:val="20"/>
                      <w:szCs w:val="20"/>
                    </w:rPr>
                    <w:t>,</w:t>
                  </w:r>
                  <w:r w:rsidRPr="00CB49D0">
                    <w:rPr>
                      <w:color w:val="17365D" w:themeColor="text2" w:themeShade="BF"/>
                      <w:sz w:val="20"/>
                      <w:szCs w:val="20"/>
                    </w:rPr>
                    <w:t xml:space="preserve"> impacting special education expenditures.  The more significant the disability, the greater the level of resources necessary to meet each student’s educational needs.</w:t>
                  </w:r>
                </w:p>
                <w:p w:rsidR="00CB49D0" w:rsidRPr="00CB49D0" w:rsidRDefault="00CB49D0" w:rsidP="00CB49D0">
                  <w:pPr>
                    <w:jc w:val="both"/>
                    <w:rPr>
                      <w:color w:val="17365D" w:themeColor="text2" w:themeShade="BF"/>
                      <w:sz w:val="20"/>
                      <w:szCs w:val="20"/>
                    </w:rPr>
                  </w:pPr>
                </w:p>
                <w:p w:rsidR="00CB49D0" w:rsidRPr="00CB49D0" w:rsidRDefault="00CB49D0" w:rsidP="00CB49D0">
                  <w:pPr>
                    <w:jc w:val="center"/>
                    <w:rPr>
                      <w:b/>
                      <w:color w:val="4F81BD" w:themeColor="accent1"/>
                      <w:sz w:val="20"/>
                      <w:szCs w:val="20"/>
                    </w:rPr>
                  </w:pPr>
                  <w:r w:rsidRPr="00CB49D0">
                    <w:rPr>
                      <w:b/>
                      <w:color w:val="4F81BD" w:themeColor="accent1"/>
                      <w:sz w:val="20"/>
                      <w:szCs w:val="20"/>
                    </w:rPr>
                    <w:t>Mild disabilities include students with Learning Disabilities and Speech/Language Impairments</w:t>
                  </w:r>
                </w:p>
                <w:p w:rsidR="005A59EE" w:rsidRPr="00CB49D0" w:rsidRDefault="00CB49D0" w:rsidP="005A59EE">
                  <w:pPr>
                    <w:jc w:val="center"/>
                    <w:rPr>
                      <w:b/>
                      <w:color w:val="8DB3E2" w:themeColor="text2" w:themeTint="66"/>
                      <w:sz w:val="20"/>
                      <w:szCs w:val="20"/>
                    </w:rPr>
                  </w:pPr>
                  <w:r>
                    <w:rPr>
                      <w:b/>
                      <w:color w:val="943634" w:themeColor="accent2" w:themeShade="BF"/>
                      <w:sz w:val="20"/>
                      <w:szCs w:val="20"/>
                    </w:rPr>
                    <w:t>Significant</w:t>
                  </w:r>
                  <w:r w:rsidRPr="00CB49D0">
                    <w:rPr>
                      <w:b/>
                      <w:color w:val="943634" w:themeColor="accent2" w:themeShade="BF"/>
                      <w:sz w:val="20"/>
                      <w:szCs w:val="20"/>
                    </w:rPr>
                    <w:t xml:space="preserve"> disabilities</w:t>
                  </w:r>
                  <w:r w:rsidR="00C507BB">
                    <w:rPr>
                      <w:b/>
                      <w:color w:val="943634" w:themeColor="accent2" w:themeShade="BF"/>
                      <w:sz w:val="20"/>
                      <w:szCs w:val="20"/>
                    </w:rPr>
                    <w:t xml:space="preserve">, </w:t>
                  </w:r>
                  <w:r w:rsidR="005A59EE">
                    <w:rPr>
                      <w:b/>
                      <w:color w:val="943634" w:themeColor="accent2" w:themeShade="BF"/>
                      <w:sz w:val="20"/>
                      <w:szCs w:val="20"/>
                    </w:rPr>
                    <w:t>typically</w:t>
                  </w:r>
                  <w:r w:rsidR="005A59EE" w:rsidRPr="00CB49D0">
                    <w:rPr>
                      <w:b/>
                      <w:color w:val="943634" w:themeColor="accent2" w:themeShade="BF"/>
                      <w:sz w:val="20"/>
                      <w:szCs w:val="20"/>
                    </w:rPr>
                    <w:t xml:space="preserve"> requiring more extensive educational services</w:t>
                  </w:r>
                  <w:r w:rsidR="005A59EE">
                    <w:rPr>
                      <w:b/>
                      <w:color w:val="943634" w:themeColor="accent2" w:themeShade="BF"/>
                      <w:sz w:val="20"/>
                      <w:szCs w:val="20"/>
                    </w:rPr>
                    <w:t>,</w:t>
                  </w:r>
                </w:p>
                <w:p w:rsidR="00C507BB" w:rsidRDefault="005A59EE" w:rsidP="00CB49D0">
                  <w:pPr>
                    <w:jc w:val="center"/>
                    <w:rPr>
                      <w:b/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b/>
                      <w:color w:val="943634" w:themeColor="accent2" w:themeShade="BF"/>
                      <w:sz w:val="20"/>
                      <w:szCs w:val="20"/>
                    </w:rPr>
                    <w:t>include</w:t>
                  </w:r>
                  <w:r w:rsidR="00CB49D0" w:rsidRPr="00CB49D0">
                    <w:rPr>
                      <w:b/>
                      <w:color w:val="943634" w:themeColor="accent2" w:themeShade="BF"/>
                      <w:sz w:val="20"/>
                      <w:szCs w:val="20"/>
                    </w:rPr>
                    <w:t xml:space="preserve"> Autism, Behavior Disorders, </w:t>
                  </w:r>
                  <w:r w:rsidR="00CB49D0">
                    <w:rPr>
                      <w:b/>
                      <w:color w:val="943634" w:themeColor="accent2" w:themeShade="BF"/>
                      <w:sz w:val="20"/>
                      <w:szCs w:val="20"/>
                    </w:rPr>
                    <w:t>Mental Handicaps</w:t>
                  </w:r>
                  <w:r w:rsidR="00CB49D0" w:rsidRPr="00CB49D0">
                    <w:rPr>
                      <w:b/>
                      <w:color w:val="943634" w:themeColor="accent2" w:themeShade="BF"/>
                      <w:sz w:val="20"/>
                      <w:szCs w:val="20"/>
                    </w:rPr>
                    <w:t xml:space="preserve">, </w:t>
                  </w:r>
                  <w:r w:rsidR="005E0654">
                    <w:rPr>
                      <w:b/>
                      <w:color w:val="943634" w:themeColor="accent2" w:themeShade="BF"/>
                      <w:sz w:val="20"/>
                      <w:szCs w:val="20"/>
                    </w:rPr>
                    <w:t xml:space="preserve">Other Health Impairments, </w:t>
                  </w:r>
                  <w:r w:rsidR="00CB49D0" w:rsidRPr="00CB49D0">
                    <w:rPr>
                      <w:b/>
                      <w:color w:val="943634" w:themeColor="accent2" w:themeShade="BF"/>
                      <w:sz w:val="20"/>
                      <w:szCs w:val="20"/>
                    </w:rPr>
                    <w:t>etc</w:t>
                  </w:r>
                  <w:r>
                    <w:rPr>
                      <w:b/>
                      <w:color w:val="943634" w:themeColor="accent2" w:themeShade="BF"/>
                      <w:sz w:val="20"/>
                      <w:szCs w:val="20"/>
                    </w:rPr>
                    <w:t>.</w:t>
                  </w:r>
                  <w:r w:rsidR="00C507BB">
                    <w:rPr>
                      <w:b/>
                      <w:color w:val="943634" w:themeColor="accent2" w:themeShade="BF"/>
                      <w:sz w:val="20"/>
                      <w:szCs w:val="20"/>
                    </w:rPr>
                    <w:t xml:space="preserve"> </w:t>
                  </w:r>
                </w:p>
                <w:p w:rsidR="00E564AC" w:rsidRPr="00CB49D0" w:rsidRDefault="00E564AC" w:rsidP="00CB49D0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545C35" w:rsidRPr="00545C35">
        <w:rPr>
          <w:noProof/>
        </w:rPr>
        <w:drawing>
          <wp:inline distT="0" distB="0" distL="0" distR="0">
            <wp:extent cx="3293534" cy="22860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21B64" w:rsidRDefault="00545C35">
      <w:pPr>
        <w:sectPr w:rsidR="00721B64">
          <w:pgSz w:w="12240" w:h="15840"/>
          <w:pgMar w:top="720" w:right="720" w:bottom="720" w:left="720" w:gutter="0"/>
          <w:cols w:num="2" w:space="180"/>
          <w:docGrid w:linePitch="360"/>
        </w:sectPr>
      </w:pPr>
      <w:r w:rsidRPr="00545C35">
        <w:rPr>
          <w:noProof/>
        </w:rPr>
        <w:drawing>
          <wp:inline distT="0" distB="0" distL="0" distR="0">
            <wp:extent cx="3217333" cy="2286000"/>
            <wp:effectExtent l="0" t="0" r="0" b="0"/>
            <wp:docPr id="4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94907" w:rsidRDefault="00994907"/>
    <w:p w:rsidR="00994907" w:rsidRDefault="00994907"/>
    <w:p w:rsidR="00D24446" w:rsidRDefault="00D24446"/>
    <w:p w:rsidR="00D24446" w:rsidRDefault="00D24446"/>
    <w:p w:rsidR="00994907" w:rsidRDefault="00994907"/>
    <w:p w:rsidR="00D24446" w:rsidRPr="00D24446" w:rsidRDefault="00D24446" w:rsidP="00BC6F40"/>
    <w:p w:rsidR="0014406A" w:rsidRDefault="0014406A" w:rsidP="00B82DCE">
      <w:pPr>
        <w:rPr>
          <w:rFonts w:cs="Arial"/>
          <w:sz w:val="18"/>
          <w:szCs w:val="18"/>
        </w:rPr>
      </w:pPr>
    </w:p>
    <w:p w:rsidR="000066C5" w:rsidRPr="00B82DCE" w:rsidRDefault="00B82DCE" w:rsidP="0010748A">
      <w:pPr>
        <w:jc w:val="center"/>
        <w:rPr>
          <w:rFonts w:cs="Arial"/>
          <w:sz w:val="28"/>
          <w:szCs w:val="28"/>
        </w:rPr>
      </w:pPr>
      <w:r w:rsidRPr="00B82DCE">
        <w:rPr>
          <w:rFonts w:cs="Arial"/>
          <w:sz w:val="28"/>
          <w:szCs w:val="28"/>
        </w:rPr>
        <w:t>******************************************************************************</w:t>
      </w:r>
      <w:r>
        <w:rPr>
          <w:rFonts w:cs="Arial"/>
          <w:sz w:val="28"/>
          <w:szCs w:val="28"/>
        </w:rPr>
        <w:t>*********************</w:t>
      </w:r>
    </w:p>
    <w:p w:rsidR="0010748A" w:rsidRPr="0010748A" w:rsidRDefault="0010748A" w:rsidP="0010748A">
      <w:pPr>
        <w:jc w:val="center"/>
        <w:rPr>
          <w:rFonts w:cs="Arial"/>
          <w:szCs w:val="24"/>
        </w:rPr>
      </w:pPr>
      <w:r>
        <w:rPr>
          <w:rFonts w:cs="Arial"/>
          <w:szCs w:val="24"/>
        </w:rPr>
        <w:t>Special Education Expenditures and Funding Sources</w:t>
      </w:r>
    </w:p>
    <w:p w:rsidR="0010748A" w:rsidRPr="00E10380" w:rsidRDefault="00CB49D0" w:rsidP="00E10380">
      <w:pPr>
        <w:rPr>
          <w:rFonts w:cs="Arial"/>
          <w:sz w:val="20"/>
          <w:szCs w:val="20"/>
        </w:rPr>
      </w:pPr>
      <w:r w:rsidRPr="0014406A">
        <w:rPr>
          <w:noProof/>
        </w:rPr>
        <w:drawing>
          <wp:inline distT="0" distB="0" distL="0" distR="0">
            <wp:extent cx="6858000" cy="2074333"/>
            <wp:effectExtent l="0" t="0" r="0" b="0"/>
            <wp:docPr id="10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0677E" w:rsidRPr="0010748A" w:rsidRDefault="0020677E" w:rsidP="0020677E">
      <w:pPr>
        <w:jc w:val="right"/>
        <w:rPr>
          <w:rFonts w:cs="Arial"/>
          <w:sz w:val="16"/>
          <w:szCs w:val="16"/>
        </w:rPr>
      </w:pPr>
      <w:r w:rsidRPr="00F87418">
        <w:rPr>
          <w:rFonts w:cs="Arial"/>
          <w:sz w:val="16"/>
          <w:szCs w:val="16"/>
        </w:rPr>
        <w:t>Source:  Nebraska Department of Education</w:t>
      </w:r>
    </w:p>
    <w:p w:rsidR="00B82DCE" w:rsidRDefault="00B82DCE" w:rsidP="00BC6F40">
      <w:pPr>
        <w:rPr>
          <w:rFonts w:cs="Arial"/>
          <w:sz w:val="28"/>
          <w:szCs w:val="28"/>
        </w:rPr>
      </w:pPr>
    </w:p>
    <w:p w:rsidR="00BC6F40" w:rsidRDefault="00BC6F40" w:rsidP="00BC6F40">
      <w:pPr>
        <w:rPr>
          <w:rFonts w:cs="Arial"/>
          <w:sz w:val="20"/>
          <w:szCs w:val="20"/>
        </w:rPr>
      </w:pPr>
      <w:r w:rsidRPr="00BC6F40">
        <w:rPr>
          <w:rFonts w:cs="Arial"/>
          <w:sz w:val="20"/>
          <w:szCs w:val="20"/>
        </w:rPr>
        <w:t>Special education and related services are federally mandated for eligible children.   Funding is through a categorical program that provides a percentage reimbursement of the allowable excess costs of the prior year for school-age children.</w:t>
      </w:r>
    </w:p>
    <w:p w:rsidR="00BC6F40" w:rsidRDefault="00BC6F40" w:rsidP="00BC6F40">
      <w:pPr>
        <w:rPr>
          <w:rFonts w:cs="Arial"/>
          <w:sz w:val="20"/>
          <w:szCs w:val="20"/>
        </w:rPr>
      </w:pPr>
    </w:p>
    <w:p w:rsidR="00BC6F40" w:rsidRDefault="00BC6F40" w:rsidP="00D24446">
      <w:pPr>
        <w:ind w:left="540" w:hanging="270"/>
        <w:rPr>
          <w:rFonts w:cs="Arial"/>
          <w:sz w:val="20"/>
          <w:szCs w:val="20"/>
        </w:rPr>
      </w:pPr>
      <w:r w:rsidRPr="00BC6F40">
        <w:rPr>
          <w:rFonts w:cs="Arial"/>
          <w:sz w:val="20"/>
          <w:szCs w:val="20"/>
        </w:rPr>
        <w:t xml:space="preserve">•   Federal Funding – </w:t>
      </w:r>
      <w:r w:rsidRPr="00BC6F40">
        <w:rPr>
          <w:rFonts w:cs="Arial"/>
          <w:color w:val="000000"/>
          <w:sz w:val="20"/>
          <w:szCs w:val="20"/>
        </w:rPr>
        <w:t>Congress made a commitment in 1975 that the federal government would fund 40% of the educational costs (i.e., Part B, State Grants) for children with disabilities through the IDEA; with state and local funds supplementing the remainder.  Congress is presently funding at approximately 17% and has never risen above 19% to date.</w:t>
      </w:r>
    </w:p>
    <w:p w:rsidR="00BC6F40" w:rsidRDefault="00BC6F40" w:rsidP="00D24446">
      <w:pPr>
        <w:ind w:left="540"/>
        <w:rPr>
          <w:rFonts w:cs="Arial"/>
          <w:sz w:val="20"/>
          <w:szCs w:val="20"/>
        </w:rPr>
      </w:pPr>
    </w:p>
    <w:p w:rsidR="00BC6F40" w:rsidRDefault="00BC6F40" w:rsidP="00D24446">
      <w:pPr>
        <w:ind w:left="540" w:hanging="27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•   </w:t>
      </w:r>
      <w:r w:rsidRPr="00BC6F40">
        <w:rPr>
          <w:rFonts w:cs="Arial"/>
          <w:sz w:val="20"/>
          <w:szCs w:val="20"/>
        </w:rPr>
        <w:t>State Funding – Reimbursement based on excess costs from prior year expenditures (excess allowable costs), general fund appropriations for SPED reimbursement is limited to 5% of prior fiscal year expenditures but has not reached the 5% level since the 2005-06 school year.</w:t>
      </w:r>
    </w:p>
    <w:p w:rsidR="00BC6F40" w:rsidRPr="00BC6F40" w:rsidRDefault="00BC6F40" w:rsidP="00D24446">
      <w:pPr>
        <w:ind w:left="540"/>
        <w:rPr>
          <w:rFonts w:cs="Arial"/>
          <w:sz w:val="20"/>
          <w:szCs w:val="20"/>
        </w:rPr>
      </w:pPr>
    </w:p>
    <w:p w:rsidR="00A47D08" w:rsidRDefault="00BC6F40" w:rsidP="00D24446">
      <w:pPr>
        <w:ind w:left="540" w:hanging="270"/>
        <w:rPr>
          <w:rFonts w:cs="Arial"/>
          <w:sz w:val="20"/>
          <w:szCs w:val="20"/>
        </w:rPr>
      </w:pPr>
      <w:r w:rsidRPr="00BC6F40">
        <w:rPr>
          <w:rFonts w:cs="Arial"/>
          <w:sz w:val="20"/>
          <w:szCs w:val="20"/>
        </w:rPr>
        <w:t xml:space="preserve">•   Local Funding – State reimbursement varies between school districts.  The state aid formula:  </w:t>
      </w:r>
      <w:r w:rsidR="00286B01">
        <w:rPr>
          <w:rFonts w:cs="Arial"/>
          <w:sz w:val="20"/>
          <w:szCs w:val="20"/>
        </w:rPr>
        <w:t>[</w:t>
      </w:r>
      <w:r w:rsidRPr="00BC6F40">
        <w:rPr>
          <w:rFonts w:cs="Arial"/>
          <w:sz w:val="20"/>
          <w:szCs w:val="20"/>
        </w:rPr>
        <w:t>(ne</w:t>
      </w:r>
      <w:r w:rsidR="004C1320">
        <w:rPr>
          <w:rFonts w:cs="Arial"/>
          <w:sz w:val="20"/>
          <w:szCs w:val="20"/>
        </w:rPr>
        <w:t xml:space="preserve">eds – resources) = </w:t>
      </w:r>
      <w:r w:rsidR="00286B01">
        <w:rPr>
          <w:rFonts w:cs="Arial"/>
          <w:sz w:val="20"/>
          <w:szCs w:val="20"/>
        </w:rPr>
        <w:t>equalization]</w:t>
      </w:r>
      <w:r w:rsidRPr="00BC6F40">
        <w:rPr>
          <w:rFonts w:cs="Arial"/>
          <w:sz w:val="20"/>
          <w:szCs w:val="20"/>
        </w:rPr>
        <w:t xml:space="preserve">; IDEA Base and IDEA Enrollment Poverty Federal Funds; local districts make up the difference from their general funds.  </w:t>
      </w:r>
      <w:r w:rsidR="00D24446">
        <w:rPr>
          <w:rFonts w:cs="Arial"/>
          <w:sz w:val="20"/>
          <w:szCs w:val="20"/>
        </w:rPr>
        <w:t>There is a d</w:t>
      </w:r>
      <w:r w:rsidRPr="00BC6F40">
        <w:rPr>
          <w:rFonts w:cs="Arial"/>
          <w:sz w:val="20"/>
          <w:szCs w:val="20"/>
        </w:rPr>
        <w:t>irect relationship between special education funding and special education expenditures on the impact of general funds available to operate school district.</w:t>
      </w:r>
      <w:r w:rsidR="0014406A">
        <w:rPr>
          <w:rFonts w:cs="Arial"/>
          <w:sz w:val="20"/>
          <w:szCs w:val="20"/>
        </w:rPr>
        <w:t xml:space="preserve">  For the first time, local funding has outspent state funding for special education services.</w:t>
      </w:r>
    </w:p>
    <w:p w:rsidR="0014406A" w:rsidRDefault="0014406A" w:rsidP="0014406A">
      <w:pPr>
        <w:ind w:left="540" w:hanging="270"/>
        <w:jc w:val="right"/>
        <w:rPr>
          <w:rFonts w:cs="Arial"/>
          <w:sz w:val="20"/>
          <w:szCs w:val="20"/>
        </w:rPr>
      </w:pPr>
    </w:p>
    <w:p w:rsidR="00097CA7" w:rsidRDefault="0010748A" w:rsidP="00286B01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Not funding</w:t>
      </w:r>
      <w:r w:rsidR="00097CA7" w:rsidRPr="00097CA7">
        <w:rPr>
          <w:rFonts w:ascii="Arial Narrow" w:hAnsi="Arial Narrow"/>
          <w:sz w:val="28"/>
          <w:szCs w:val="28"/>
        </w:rPr>
        <w:t xml:space="preserve"> Special Educ</w:t>
      </w:r>
      <w:r w:rsidR="0020677E">
        <w:rPr>
          <w:rFonts w:ascii="Arial Narrow" w:hAnsi="Arial Narrow"/>
          <w:sz w:val="28"/>
          <w:szCs w:val="28"/>
        </w:rPr>
        <w:t>ation has a direct impact on</w:t>
      </w:r>
      <w:r w:rsidR="00097CA7" w:rsidRPr="00097CA7">
        <w:rPr>
          <w:rFonts w:ascii="Arial Narrow" w:hAnsi="Arial Narrow"/>
          <w:sz w:val="28"/>
          <w:szCs w:val="28"/>
        </w:rPr>
        <w:t xml:space="preserve"> programs for Non-Special Education Students.</w:t>
      </w:r>
    </w:p>
    <w:p w:rsidR="0078157C" w:rsidRDefault="0078157C">
      <w:pPr>
        <w:rPr>
          <w:rFonts w:ascii="Arial Narrow" w:hAnsi="Arial Narrow"/>
          <w:sz w:val="28"/>
          <w:szCs w:val="28"/>
        </w:rPr>
      </w:pPr>
    </w:p>
    <w:p w:rsidR="0078157C" w:rsidRPr="005874CA" w:rsidRDefault="0078157C" w:rsidP="0078157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="Times"/>
          <w:b/>
          <w:bCs/>
          <w:color w:val="1B1718"/>
          <w:szCs w:val="24"/>
        </w:rPr>
      </w:pPr>
      <w:r w:rsidRPr="005874CA">
        <w:rPr>
          <w:rFonts w:cs="Times"/>
          <w:b/>
          <w:bCs/>
          <w:color w:val="1B1718"/>
          <w:szCs w:val="24"/>
        </w:rPr>
        <w:t>Special Education Funding – Questions and Answers</w:t>
      </w:r>
    </w:p>
    <w:p w:rsidR="0078157C" w:rsidRPr="005874CA" w:rsidRDefault="0078157C" w:rsidP="0078157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"/>
          <w:b/>
          <w:bCs/>
          <w:color w:val="1B1718"/>
          <w:szCs w:val="24"/>
        </w:rPr>
      </w:pPr>
    </w:p>
    <w:p w:rsidR="00CD0D90" w:rsidRDefault="0078157C" w:rsidP="00CD0D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47" w:hanging="547"/>
        <w:rPr>
          <w:rFonts w:cs="Times"/>
          <w:b/>
          <w:bCs/>
          <w:color w:val="1B1718"/>
          <w:sz w:val="20"/>
          <w:szCs w:val="24"/>
        </w:rPr>
      </w:pPr>
      <w:r>
        <w:rPr>
          <w:rFonts w:cs="Times"/>
          <w:b/>
          <w:bCs/>
          <w:color w:val="1B1718"/>
          <w:sz w:val="20"/>
          <w:szCs w:val="24"/>
        </w:rPr>
        <w:t>Q</w:t>
      </w:r>
      <w:r>
        <w:rPr>
          <w:rFonts w:cs="Times"/>
          <w:b/>
          <w:bCs/>
          <w:color w:val="1B1718"/>
          <w:sz w:val="20"/>
          <w:szCs w:val="24"/>
        </w:rPr>
        <w:tab/>
        <w:t>WHAT DOES FEDERAL LAW SAY ABOUT SPECIAL EDUCATION SERVICES?</w:t>
      </w:r>
    </w:p>
    <w:p w:rsidR="00C812FC" w:rsidRPr="00CD0D90" w:rsidRDefault="0078157C" w:rsidP="00CD0D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47" w:hanging="547"/>
        <w:rPr>
          <w:rFonts w:cs="Times"/>
          <w:b/>
          <w:bCs/>
          <w:color w:val="1B1718"/>
          <w:sz w:val="20"/>
          <w:szCs w:val="24"/>
        </w:rPr>
      </w:pPr>
      <w:r w:rsidRPr="00CD0D90">
        <w:rPr>
          <w:rFonts w:cs="Arial"/>
          <w:b/>
          <w:bCs/>
          <w:color w:val="1B1718"/>
          <w:sz w:val="20"/>
          <w:szCs w:val="24"/>
        </w:rPr>
        <w:t>A</w:t>
      </w:r>
      <w:r>
        <w:rPr>
          <w:rFonts w:cs="Times"/>
          <w:b/>
          <w:bCs/>
          <w:color w:val="1B1718"/>
          <w:sz w:val="20"/>
          <w:szCs w:val="24"/>
        </w:rPr>
        <w:tab/>
      </w:r>
      <w:r w:rsidR="00C812FC" w:rsidRPr="00CD0D90">
        <w:rPr>
          <w:rFonts w:cs="Arial"/>
          <w:color w:val="333333"/>
          <w:sz w:val="20"/>
          <w:szCs w:val="20"/>
        </w:rPr>
        <w:t xml:space="preserve">The Individuals with Disabilities Education Act (IDEA) is a </w:t>
      </w:r>
      <w:r w:rsidR="00CD0D90">
        <w:rPr>
          <w:rFonts w:cs="Arial"/>
          <w:color w:val="333333"/>
          <w:sz w:val="20"/>
          <w:szCs w:val="20"/>
        </w:rPr>
        <w:t xml:space="preserve">federal </w:t>
      </w:r>
      <w:r w:rsidR="00915269">
        <w:rPr>
          <w:rFonts w:cs="Arial"/>
          <w:color w:val="333333"/>
          <w:sz w:val="20"/>
          <w:szCs w:val="20"/>
        </w:rPr>
        <w:t>law mandating</w:t>
      </w:r>
      <w:r w:rsidR="00C812FC" w:rsidRPr="00CD0D90">
        <w:rPr>
          <w:rFonts w:cs="Arial"/>
          <w:color w:val="333333"/>
          <w:sz w:val="20"/>
          <w:szCs w:val="20"/>
        </w:rPr>
        <w:t xml:space="preserve"> services to children with disabilities throughout the nation. IDEA governs how states and public agencies provide early intervention, special education and related se</w:t>
      </w:r>
      <w:r w:rsidR="00CD0D90">
        <w:rPr>
          <w:rFonts w:cs="Arial"/>
          <w:color w:val="333333"/>
          <w:sz w:val="20"/>
          <w:szCs w:val="20"/>
        </w:rPr>
        <w:t xml:space="preserve">rvices to </w:t>
      </w:r>
      <w:r w:rsidR="00C812FC" w:rsidRPr="00CD0D90">
        <w:rPr>
          <w:rFonts w:cs="Arial"/>
          <w:color w:val="333333"/>
          <w:sz w:val="20"/>
          <w:szCs w:val="20"/>
        </w:rPr>
        <w:t>eligible infants, toddlers, children and youth with disabilities.</w:t>
      </w:r>
      <w:r w:rsidR="00CD0D90">
        <w:rPr>
          <w:rFonts w:cs="Arial"/>
          <w:color w:val="333333"/>
          <w:sz w:val="20"/>
          <w:szCs w:val="20"/>
        </w:rPr>
        <w:t xml:space="preserve">  </w:t>
      </w:r>
      <w:r w:rsidR="00C812FC" w:rsidRPr="00CD0D90">
        <w:rPr>
          <w:rFonts w:cs="Arial"/>
          <w:color w:val="333333"/>
          <w:sz w:val="20"/>
          <w:szCs w:val="20"/>
        </w:rPr>
        <w:t>Infants and toddlers with disabilities (birth-2) and their families receive early intervention services under IDEA Part C. Children and youth (ages 3-21) receive special education and related services under IDEA Part B.</w:t>
      </w:r>
      <w:r w:rsidR="00CD0D90">
        <w:rPr>
          <w:rFonts w:cs="Arial"/>
          <w:color w:val="333333"/>
          <w:sz w:val="20"/>
          <w:szCs w:val="20"/>
        </w:rPr>
        <w:t xml:space="preserve"> </w:t>
      </w:r>
    </w:p>
    <w:p w:rsidR="0078157C" w:rsidRPr="0078157C" w:rsidRDefault="0078157C" w:rsidP="0078157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40" w:hanging="540"/>
        <w:rPr>
          <w:rFonts w:cs="Times"/>
          <w:bCs/>
          <w:color w:val="1B1718"/>
          <w:sz w:val="20"/>
          <w:szCs w:val="24"/>
        </w:rPr>
      </w:pPr>
    </w:p>
    <w:p w:rsidR="0078157C" w:rsidRDefault="0078157C" w:rsidP="0078157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40" w:hanging="540"/>
        <w:rPr>
          <w:rFonts w:cs="Times"/>
          <w:b/>
          <w:bCs/>
          <w:color w:val="1B1718"/>
          <w:sz w:val="20"/>
          <w:szCs w:val="24"/>
        </w:rPr>
      </w:pPr>
    </w:p>
    <w:p w:rsidR="0078157C" w:rsidRPr="005874CA" w:rsidRDefault="0078157C" w:rsidP="0078157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40" w:hanging="540"/>
        <w:rPr>
          <w:rFonts w:cs="Times"/>
          <w:b/>
          <w:bCs/>
          <w:color w:val="1B1718"/>
          <w:sz w:val="20"/>
          <w:szCs w:val="24"/>
        </w:rPr>
      </w:pPr>
      <w:r w:rsidRPr="005874CA">
        <w:rPr>
          <w:rFonts w:cs="Times"/>
          <w:b/>
          <w:bCs/>
          <w:color w:val="1B1718"/>
          <w:sz w:val="20"/>
          <w:szCs w:val="24"/>
        </w:rPr>
        <w:t>Q</w:t>
      </w:r>
      <w:r w:rsidRPr="005874CA">
        <w:rPr>
          <w:rFonts w:cs="Times"/>
          <w:b/>
          <w:bCs/>
          <w:color w:val="1B1718"/>
          <w:sz w:val="20"/>
          <w:szCs w:val="24"/>
        </w:rPr>
        <w:tab/>
        <w:t>WHAT IS MAINTENANCE OF EFFORT</w:t>
      </w:r>
      <w:r>
        <w:rPr>
          <w:rFonts w:cs="Times"/>
          <w:b/>
          <w:bCs/>
          <w:color w:val="1B1718"/>
          <w:sz w:val="20"/>
          <w:szCs w:val="24"/>
        </w:rPr>
        <w:t xml:space="preserve"> (MOE)</w:t>
      </w:r>
      <w:r w:rsidRPr="005874CA">
        <w:rPr>
          <w:rFonts w:cs="Times"/>
          <w:b/>
          <w:bCs/>
          <w:color w:val="1B1718"/>
          <w:sz w:val="20"/>
          <w:szCs w:val="24"/>
        </w:rPr>
        <w:t xml:space="preserve"> UNDER IDEA PART B?</w:t>
      </w:r>
    </w:p>
    <w:p w:rsidR="0078157C" w:rsidRPr="005874CA" w:rsidRDefault="0078157C" w:rsidP="0078157C">
      <w:pPr>
        <w:ind w:left="540" w:hanging="540"/>
        <w:rPr>
          <w:rFonts w:cs="Arial"/>
          <w:sz w:val="20"/>
          <w:szCs w:val="20"/>
        </w:rPr>
      </w:pPr>
      <w:r w:rsidRPr="005874CA">
        <w:rPr>
          <w:rFonts w:cs="Times"/>
          <w:b/>
          <w:color w:val="1B1718"/>
          <w:sz w:val="20"/>
          <w:szCs w:val="24"/>
        </w:rPr>
        <w:t>A</w:t>
      </w:r>
      <w:r w:rsidRPr="005874CA">
        <w:rPr>
          <w:rFonts w:cs="Times"/>
          <w:color w:val="1B1718"/>
          <w:sz w:val="20"/>
          <w:szCs w:val="24"/>
        </w:rPr>
        <w:tab/>
        <w:t>Maintenance of effort under Part B means that an applicant for funds under Part B may not reduce the level of expenditures for support of special education below the</w:t>
      </w:r>
      <w:r>
        <w:rPr>
          <w:rFonts w:cs="Times"/>
          <w:color w:val="1B1718"/>
          <w:sz w:val="20"/>
          <w:szCs w:val="24"/>
        </w:rPr>
        <w:t xml:space="preserve"> level of expenditures for sup</w:t>
      </w:r>
      <w:r w:rsidRPr="005874CA">
        <w:rPr>
          <w:rFonts w:cs="Times"/>
          <w:color w:val="1B1718"/>
          <w:sz w:val="20"/>
          <w:szCs w:val="24"/>
        </w:rPr>
        <w:t>port of special education for the preceding fiscal year (34 CFR 300.231(a)). Reductions in expenditures are allowed, only if they meet the provisions of 34 CFR 300.232 and/or 34 CFR 300.233.</w:t>
      </w:r>
    </w:p>
    <w:p w:rsidR="0078157C" w:rsidRPr="00097CA7" w:rsidRDefault="0078157C">
      <w:pPr>
        <w:rPr>
          <w:rFonts w:ascii="Arial Narrow" w:hAnsi="Arial Narrow"/>
          <w:sz w:val="28"/>
          <w:szCs w:val="28"/>
        </w:rPr>
      </w:pPr>
    </w:p>
    <w:sectPr w:rsidR="0078157C" w:rsidRPr="00097CA7" w:rsidSect="00721B64">
      <w:type w:val="continuous"/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oNotTrackMoves/>
  <w:defaultTabStop w:val="720"/>
  <w:drawingGridHorizontalSpacing w:val="120"/>
  <w:displayHorizontalDrawingGridEvery w:val="2"/>
  <w:characterSpacingControl w:val="doNotCompress"/>
  <w:compat/>
  <w:rsids>
    <w:rsidRoot w:val="00994907"/>
    <w:rsid w:val="000066C5"/>
    <w:rsid w:val="000370DD"/>
    <w:rsid w:val="000573E1"/>
    <w:rsid w:val="00097CA7"/>
    <w:rsid w:val="0010748A"/>
    <w:rsid w:val="00130A11"/>
    <w:rsid w:val="0014406A"/>
    <w:rsid w:val="00147F20"/>
    <w:rsid w:val="00186AF6"/>
    <w:rsid w:val="001C7EE2"/>
    <w:rsid w:val="001F31D2"/>
    <w:rsid w:val="001F572A"/>
    <w:rsid w:val="0020677E"/>
    <w:rsid w:val="00286B01"/>
    <w:rsid w:val="002C604A"/>
    <w:rsid w:val="002D61E5"/>
    <w:rsid w:val="003506F8"/>
    <w:rsid w:val="00475405"/>
    <w:rsid w:val="004C1320"/>
    <w:rsid w:val="004D0F94"/>
    <w:rsid w:val="00527D18"/>
    <w:rsid w:val="00545C35"/>
    <w:rsid w:val="00566C24"/>
    <w:rsid w:val="005A4675"/>
    <w:rsid w:val="005A59EE"/>
    <w:rsid w:val="005E0654"/>
    <w:rsid w:val="00625718"/>
    <w:rsid w:val="00665DC2"/>
    <w:rsid w:val="006A70F7"/>
    <w:rsid w:val="00721B64"/>
    <w:rsid w:val="0075353C"/>
    <w:rsid w:val="007779F7"/>
    <w:rsid w:val="0078157C"/>
    <w:rsid w:val="007F02F6"/>
    <w:rsid w:val="007F7C5C"/>
    <w:rsid w:val="008D109F"/>
    <w:rsid w:val="00915269"/>
    <w:rsid w:val="00973FE4"/>
    <w:rsid w:val="00994907"/>
    <w:rsid w:val="009F7DA6"/>
    <w:rsid w:val="00A47D08"/>
    <w:rsid w:val="00B14D61"/>
    <w:rsid w:val="00B66C3A"/>
    <w:rsid w:val="00B71908"/>
    <w:rsid w:val="00B82DCE"/>
    <w:rsid w:val="00BC6F40"/>
    <w:rsid w:val="00C507BB"/>
    <w:rsid w:val="00C812FC"/>
    <w:rsid w:val="00C928CC"/>
    <w:rsid w:val="00CB49D0"/>
    <w:rsid w:val="00CD0D90"/>
    <w:rsid w:val="00CF2E99"/>
    <w:rsid w:val="00D24446"/>
    <w:rsid w:val="00E10380"/>
    <w:rsid w:val="00E24D5C"/>
    <w:rsid w:val="00E564AC"/>
    <w:rsid w:val="00E74864"/>
    <w:rsid w:val="00ED359D"/>
    <w:rsid w:val="00F76454"/>
    <w:rsid w:val="00F77D19"/>
    <w:rsid w:val="00F87418"/>
  </w:rsids>
  <m:mathPr>
    <m:mathFont m:val="Marker Fel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9D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49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90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812F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0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chart" Target="charts/chart2.xml"/><Relationship Id="rId7" Type="http://schemas.openxmlformats.org/officeDocument/2006/relationships/chart" Target="charts/chart3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lfrye\Desktop\Child%20Find%20Example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lfrye\Desktop\Child%20Find%20Example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lfrye\Desktop\Sped%20Funding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2"/>
  <c:chart>
    <c:title>
      <c:tx>
        <c:rich>
          <a:bodyPr/>
          <a:lstStyle/>
          <a:p>
            <a:pPr>
              <a:defRPr/>
            </a:pPr>
            <a:r>
              <a:rPr lang="en-US" sz="1600"/>
              <a:t>Nebraska Special Education Child Count 2001-02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76837104222732"/>
          <c:y val="0.255280329542141"/>
          <c:w val="0.451951892089438"/>
          <c:h val="0.743837489063867"/>
        </c:manualLayout>
      </c:layout>
      <c:pieChart>
        <c:varyColors val="1"/>
        <c:ser>
          <c:idx val="0"/>
          <c:order val="0"/>
          <c:dLbls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Significant Disabilities
35%</a:t>
                    </a:r>
                  </a:p>
                </c:rich>
              </c:tx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Sheet1!$A$3:$A$4</c:f>
              <c:strCache>
                <c:ptCount val="2"/>
                <c:pt idx="0">
                  <c:v>Mild Disabilities </c:v>
                </c:pt>
                <c:pt idx="1">
                  <c:v>Severe Disabilities</c:v>
                </c:pt>
              </c:strCache>
            </c:strRef>
          </c:cat>
          <c:val>
            <c:numRef>
              <c:f>Sheet1!$B$3:$B$4</c:f>
              <c:numCache>
                <c:formatCode>General</c:formatCode>
                <c:ptCount val="2"/>
                <c:pt idx="0">
                  <c:v>28678.0</c:v>
                </c:pt>
                <c:pt idx="1">
                  <c:v>15188.0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2"/>
  <c:chart>
    <c:title>
      <c:tx>
        <c:rich>
          <a:bodyPr/>
          <a:lstStyle/>
          <a:p>
            <a:pPr>
              <a:defRPr/>
            </a:pPr>
            <a:r>
              <a:rPr lang="en-US" sz="1600"/>
              <a:t>Nebraska Special Education Child Count 2006-07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74071084864392"/>
          <c:y val="0.246021070282881"/>
          <c:w val="0.451858048993876"/>
          <c:h val="0.753096748323127"/>
        </c:manualLayout>
      </c:layout>
      <c:pieChart>
        <c:varyColors val="1"/>
        <c:ser>
          <c:idx val="0"/>
          <c:order val="0"/>
          <c:dLbls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Significant Disabilities
42%</a:t>
                    </a:r>
                  </a:p>
                </c:rich>
              </c:tx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Sheet1!$A$7:$A$8</c:f>
              <c:strCache>
                <c:ptCount val="2"/>
                <c:pt idx="0">
                  <c:v>Mild Disabilities</c:v>
                </c:pt>
                <c:pt idx="1">
                  <c:v>Severe Disabilities</c:v>
                </c:pt>
              </c:strCache>
            </c:strRef>
          </c:cat>
          <c:val>
            <c:numRef>
              <c:f>Sheet1!$B$7:$B$8</c:f>
              <c:numCache>
                <c:formatCode>General</c:formatCode>
                <c:ptCount val="2"/>
                <c:pt idx="0">
                  <c:v>27008.0</c:v>
                </c:pt>
                <c:pt idx="1">
                  <c:v>19240.0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2"/>
  <c:chart>
    <c:plotArea>
      <c:layout/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Sped. Exp.</c:v>
                </c:pt>
              </c:strCache>
            </c:strRef>
          </c:tx>
          <c:marker>
            <c:symbol val="none"/>
          </c:marker>
          <c:cat>
            <c:strRef>
              <c:f>Sheet1!$B$1:$K$1</c:f>
              <c:strCache>
                <c:ptCount val="10"/>
                <c:pt idx="0">
                  <c:v>2000-01</c:v>
                </c:pt>
                <c:pt idx="1">
                  <c:v>2001-02</c:v>
                </c:pt>
                <c:pt idx="2">
                  <c:v>2002-03</c:v>
                </c:pt>
                <c:pt idx="3">
                  <c:v>2003-04</c:v>
                </c:pt>
                <c:pt idx="4">
                  <c:v>2004-05</c:v>
                </c:pt>
                <c:pt idx="5">
                  <c:v>2005-06</c:v>
                </c:pt>
                <c:pt idx="6">
                  <c:v>2006-07</c:v>
                </c:pt>
                <c:pt idx="7">
                  <c:v>2007-08</c:v>
                </c:pt>
                <c:pt idx="8">
                  <c:v>2008-09</c:v>
                </c:pt>
                <c:pt idx="9">
                  <c:v>2009-10</c:v>
                </c:pt>
              </c:strCache>
            </c:strRef>
          </c:cat>
          <c:val>
            <c:numRef>
              <c:f>Sheet1!$B$2:$K$2</c:f>
              <c:numCache>
                <c:formatCode>_("$"* #,##0_);_("$"* \(#,##0\);_("$"* "-"??_);_(@_)</c:formatCode>
                <c:ptCount val="10"/>
                <c:pt idx="0">
                  <c:v>2.454041E8</c:v>
                </c:pt>
                <c:pt idx="1">
                  <c:v>2.71627133E8</c:v>
                </c:pt>
                <c:pt idx="2">
                  <c:v>3.01069526E8</c:v>
                </c:pt>
                <c:pt idx="3">
                  <c:v>3.13813346E8</c:v>
                </c:pt>
                <c:pt idx="4">
                  <c:v>3.34988619E8</c:v>
                </c:pt>
                <c:pt idx="5">
                  <c:v>3.56784204E8</c:v>
                </c:pt>
                <c:pt idx="6">
                  <c:v>3.8047151E8</c:v>
                </c:pt>
                <c:pt idx="7">
                  <c:v>4.03921578E8</c:v>
                </c:pt>
                <c:pt idx="8">
                  <c:v>4.32507051E8</c:v>
                </c:pt>
                <c:pt idx="9">
                  <c:v>4.47091113E8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Local Funds</c:v>
                </c:pt>
              </c:strCache>
            </c:strRef>
          </c:tx>
          <c:marker>
            <c:symbol val="none"/>
          </c:marker>
          <c:cat>
            <c:strRef>
              <c:f>Sheet1!$B$1:$K$1</c:f>
              <c:strCache>
                <c:ptCount val="10"/>
                <c:pt idx="0">
                  <c:v>2000-01</c:v>
                </c:pt>
                <c:pt idx="1">
                  <c:v>2001-02</c:v>
                </c:pt>
                <c:pt idx="2">
                  <c:v>2002-03</c:v>
                </c:pt>
                <c:pt idx="3">
                  <c:v>2003-04</c:v>
                </c:pt>
                <c:pt idx="4">
                  <c:v>2004-05</c:v>
                </c:pt>
                <c:pt idx="5">
                  <c:v>2005-06</c:v>
                </c:pt>
                <c:pt idx="6">
                  <c:v>2006-07</c:v>
                </c:pt>
                <c:pt idx="7">
                  <c:v>2007-08</c:v>
                </c:pt>
                <c:pt idx="8">
                  <c:v>2008-09</c:v>
                </c:pt>
                <c:pt idx="9">
                  <c:v>2009-10</c:v>
                </c:pt>
              </c:strCache>
            </c:strRef>
          </c:cat>
          <c:val>
            <c:numRef>
              <c:f>Sheet1!$B$3:$K$3</c:f>
              <c:numCache>
                <c:formatCode>_("$"* #,##0_);_("$"* \(#,##0\);_("$"* "-"??_);_(@_)</c:formatCode>
                <c:ptCount val="10"/>
                <c:pt idx="0">
                  <c:v>7.8385476E7</c:v>
                </c:pt>
                <c:pt idx="1">
                  <c:v>8.9891543E7</c:v>
                </c:pt>
                <c:pt idx="2">
                  <c:v>1.11606081E8</c:v>
                </c:pt>
                <c:pt idx="3">
                  <c:v>1.1058467E8</c:v>
                </c:pt>
                <c:pt idx="4">
                  <c:v>1.15324495E8</c:v>
                </c:pt>
                <c:pt idx="5">
                  <c:v>1.27797094E8</c:v>
                </c:pt>
                <c:pt idx="6">
                  <c:v>1.46483965E8</c:v>
                </c:pt>
                <c:pt idx="7">
                  <c:v>1.63283126E8</c:v>
                </c:pt>
                <c:pt idx="8">
                  <c:v>1.85234193E8</c:v>
                </c:pt>
                <c:pt idx="9">
                  <c:v>1.9694002E8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State Funds</c:v>
                </c:pt>
              </c:strCache>
            </c:strRef>
          </c:tx>
          <c:marker>
            <c:symbol val="none"/>
          </c:marker>
          <c:cat>
            <c:strRef>
              <c:f>Sheet1!$B$1:$K$1</c:f>
              <c:strCache>
                <c:ptCount val="10"/>
                <c:pt idx="0">
                  <c:v>2000-01</c:v>
                </c:pt>
                <c:pt idx="1">
                  <c:v>2001-02</c:v>
                </c:pt>
                <c:pt idx="2">
                  <c:v>2002-03</c:v>
                </c:pt>
                <c:pt idx="3">
                  <c:v>2003-04</c:v>
                </c:pt>
                <c:pt idx="4">
                  <c:v>2004-05</c:v>
                </c:pt>
                <c:pt idx="5">
                  <c:v>2005-06</c:v>
                </c:pt>
                <c:pt idx="6">
                  <c:v>2006-07</c:v>
                </c:pt>
                <c:pt idx="7">
                  <c:v>2007-08</c:v>
                </c:pt>
                <c:pt idx="8">
                  <c:v>2008-09</c:v>
                </c:pt>
                <c:pt idx="9">
                  <c:v>2009-10</c:v>
                </c:pt>
              </c:strCache>
            </c:strRef>
          </c:cat>
          <c:val>
            <c:numRef>
              <c:f>Sheet1!$B$4:$K$4</c:f>
              <c:numCache>
                <c:formatCode>_("$"* #,##0_);_("$"* \(#,##0\);_("$"* "-"??_);_(@_)</c:formatCode>
                <c:ptCount val="10"/>
                <c:pt idx="0">
                  <c:v>1.37205322E8</c:v>
                </c:pt>
                <c:pt idx="1">
                  <c:v>1.43950448E8</c:v>
                </c:pt>
                <c:pt idx="2">
                  <c:v>1.44013465E8</c:v>
                </c:pt>
                <c:pt idx="3">
                  <c:v>1.49618516E8</c:v>
                </c:pt>
                <c:pt idx="4">
                  <c:v>1.5882372E8</c:v>
                </c:pt>
                <c:pt idx="5">
                  <c:v>1.65817165E8</c:v>
                </c:pt>
                <c:pt idx="6">
                  <c:v>1.70976101E8</c:v>
                </c:pt>
                <c:pt idx="7">
                  <c:v>1.76554367E8</c:v>
                </c:pt>
                <c:pt idx="8">
                  <c:v>1.82532892E8</c:v>
                </c:pt>
                <c:pt idx="9">
                  <c:v>1.82466151E8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Fed. Funds</c:v>
                </c:pt>
              </c:strCache>
            </c:strRef>
          </c:tx>
          <c:marker>
            <c:symbol val="none"/>
          </c:marker>
          <c:cat>
            <c:strRef>
              <c:f>Sheet1!$B$1:$K$1</c:f>
              <c:strCache>
                <c:ptCount val="10"/>
                <c:pt idx="0">
                  <c:v>2000-01</c:v>
                </c:pt>
                <c:pt idx="1">
                  <c:v>2001-02</c:v>
                </c:pt>
                <c:pt idx="2">
                  <c:v>2002-03</c:v>
                </c:pt>
                <c:pt idx="3">
                  <c:v>2003-04</c:v>
                </c:pt>
                <c:pt idx="4">
                  <c:v>2004-05</c:v>
                </c:pt>
                <c:pt idx="5">
                  <c:v>2005-06</c:v>
                </c:pt>
                <c:pt idx="6">
                  <c:v>2006-07</c:v>
                </c:pt>
                <c:pt idx="7">
                  <c:v>2007-08</c:v>
                </c:pt>
                <c:pt idx="8">
                  <c:v>2008-09</c:v>
                </c:pt>
                <c:pt idx="9">
                  <c:v>2009-10</c:v>
                </c:pt>
              </c:strCache>
            </c:strRef>
          </c:cat>
          <c:val>
            <c:numRef>
              <c:f>Sheet1!$B$5:$K$5</c:f>
              <c:numCache>
                <c:formatCode>"$"#,##0</c:formatCode>
                <c:ptCount val="10"/>
                <c:pt idx="0">
                  <c:v>2.9813302E7</c:v>
                </c:pt>
                <c:pt idx="1">
                  <c:v>3.7785142E7</c:v>
                </c:pt>
                <c:pt idx="2">
                  <c:v>4.544998E7</c:v>
                </c:pt>
                <c:pt idx="3">
                  <c:v>5.361016E7</c:v>
                </c:pt>
                <c:pt idx="4">
                  <c:v>6.0840404E7</c:v>
                </c:pt>
                <c:pt idx="5">
                  <c:v>6.3169945E7</c:v>
                </c:pt>
                <c:pt idx="6">
                  <c:v>6.3011444E7</c:v>
                </c:pt>
                <c:pt idx="7">
                  <c:v>6.4084085E7</c:v>
                </c:pt>
                <c:pt idx="8">
                  <c:v>6.4739966E7</c:v>
                </c:pt>
                <c:pt idx="9">
                  <c:v>6.7684942E7</c:v>
                </c:pt>
              </c:numCache>
            </c:numRef>
          </c:val>
        </c:ser>
        <c:marker val="1"/>
        <c:axId val="492519880"/>
        <c:axId val="492523080"/>
      </c:lineChart>
      <c:catAx>
        <c:axId val="492519880"/>
        <c:scaling>
          <c:orientation val="minMax"/>
        </c:scaling>
        <c:axPos val="b"/>
        <c:tickLblPos val="nextTo"/>
        <c:crossAx val="492523080"/>
        <c:crosses val="autoZero"/>
        <c:auto val="1"/>
        <c:lblAlgn val="ctr"/>
        <c:lblOffset val="100"/>
      </c:catAx>
      <c:valAx>
        <c:axId val="492523080"/>
        <c:scaling>
          <c:orientation val="minMax"/>
        </c:scaling>
        <c:axPos val="l"/>
        <c:majorGridlines/>
        <c:numFmt formatCode="_(&quot;$&quot;* #,##0_);_(&quot;$&quot;* \(#,##0\);_(&quot;$&quot;* &quot;-&quot;??_);_(@_)" sourceLinked="1"/>
        <c:tickLblPos val="nextTo"/>
        <c:crossAx val="49251988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43415540225111"/>
          <c:y val="0.050596216603924"/>
          <c:w val="0.14534499621885"/>
          <c:h val="0.770659466604558"/>
        </c:manualLayout>
      </c:layout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AB2BA-B529-5A41-A0AF-D92CE4A88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2314</Characters>
  <Application>Microsoft Macintosh Word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Elkhorn Public Schools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User</dc:creator>
  <cp:keywords/>
  <dc:description/>
  <cp:lastModifiedBy>Larianne Polk</cp:lastModifiedBy>
  <cp:revision>2</cp:revision>
  <cp:lastPrinted>2011-01-12T21:27:00Z</cp:lastPrinted>
  <dcterms:created xsi:type="dcterms:W3CDTF">2011-01-14T17:48:00Z</dcterms:created>
  <dcterms:modified xsi:type="dcterms:W3CDTF">2011-01-14T17:48:00Z</dcterms:modified>
</cp:coreProperties>
</file>